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0A99D"/>
          <w:sz w:val="17"/>
        </w:rPr>
        <w:t>MODÈLE · SMC CONSULTING</w:t>
      </w:r>
    </w:p>
    <w:p>
      <w:pPr>
        <w:pStyle w:val="Title"/>
      </w:pPr>
      <w:r>
        <w:t>Modèle de cahier des charges ITSM : exigences et grille de notation</w:t>
      </w:r>
    </w:p>
    <w:p>
      <w:r>
        <w:rPr>
          <w:color w:val="6B7280"/>
          <w:sz w:val="17"/>
        </w:rPr>
        <w:t>Mis à jour 2026-10-05 · SMC Consulting · Autres modèles et guides: https://www.smcconsulting.be/fr/guides</w:t>
      </w:r>
    </w:p>
    <w:p>
      <w:r>
        <w:t>Une structure prête à l’emploi pour votre appel d’offres ITSM. Décrivez votre contexte, envoyez les exigences aux éditeurs et à leurs partenaires, puis notez les réponses avec la même grille pondérée pour chaque outil. Supprimez ce qui ne vous concerne pas et ajoutez vos propres exigences.</w:t>
      </w:r>
    </w:p>
    <w:p>
      <w:pPr>
        <w:pStyle w:val="Heading1"/>
      </w:pPr>
      <w:r>
        <w:t>Comment utiliser ce modèle</w:t>
      </w:r>
    </w:p>
    <w:p>
      <w:r>
        <w:t>Complétez vous-même les sections 1 à 3 : elles présentent votre organisation et vos besoins aux éditeurs. Les sections 4 à 12 contiennent les exigences : donnez à chacune une priorité (I = indispensable, S = souhaitable, O = optionnelle) avant d’envoyer le document.</w:t>
      </w:r>
    </w:p>
    <w:p>
      <w:r>
        <w:t>Demandez à chaque éditeur de répondre à chaque exigence par l’un de ces cinq termes : Standard (disponible tel quel), Paramétrage (sans code), Spécifique (développement nécessaire), Feuille de route (prévu, avec une date) ou Non. Demandez un court commentaire dès que la réponse n’est pas « Standard ».</w:t>
      </w:r>
    </w:p>
    <w:p>
      <w:r>
        <w:t>Notez ensuite les réponses avec la grille de la section 14 et invitez les deux ou trois meilleurs outils à une démo scénarisée sur vos propres cas d’usage.</w:t>
      </w:r>
    </w:p>
    <w:p>
      <w:pPr>
        <w:pStyle w:val="Heading1"/>
      </w:pPr>
      <w:r>
        <w:t>1. Votre organisation</w:t>
      </w:r>
    </w:p>
    <w:tbl>
      <w:tblPr>
        <w:tblStyle w:val="TableGrid"/>
        <w:tblW w:type="auto" w:w="0"/>
        <w:jc w:val="center"/>
        <w:tblLayout w:type="fixed"/>
        <w:tblLook w:firstColumn="1" w:firstRow="1" w:lastColumn="0" w:lastRow="0" w:noHBand="0" w:noVBand="1" w:val="04A0"/>
      </w:tblPr>
      <w:tblGrid>
        <w:gridCol w:w="4337"/>
        <w:gridCol w:w="5301"/>
      </w:tblGrid>
      <w:tr>
        <w:trPr>
          <w:trHeight w:val="567"/>
        </w:trPr>
        <w:tc>
          <w:tcPr>
            <w:tcW w:type="dxa" w:w="4337"/>
          </w:tcPr>
          <w:p>
            <w:r>
              <w:rPr>
                <w:sz w:val="18"/>
              </w:rPr>
              <w:t>Organisation et entités concernées</w:t>
            </w:r>
          </w:p>
        </w:tc>
        <w:tc>
          <w:tcPr>
            <w:tcW w:type="dxa" w:w="5301"/>
            <w:shd w:val="clear" w:color="auto" w:fill="FFF8E1"/>
          </w:tcPr>
          <w:p>
            <w:r>
              <w:rPr>
                <w:sz w:val="18"/>
              </w:rPr>
            </w:r>
          </w:p>
        </w:tc>
      </w:tr>
      <w:tr>
        <w:trPr>
          <w:trHeight w:val="567"/>
        </w:trPr>
        <w:tc>
          <w:tcPr>
            <w:tcW w:type="dxa" w:w="4337"/>
          </w:tcPr>
          <w:p>
            <w:r>
              <w:rPr>
                <w:sz w:val="18"/>
              </w:rPr>
              <w:t>Nombre d’utilisateurs servis (Collaborateurs et autres personnes qui ouvrent des tickets)</w:t>
            </w:r>
          </w:p>
        </w:tc>
        <w:tc>
          <w:tcPr>
            <w:tcW w:type="dxa" w:w="5301"/>
            <w:shd w:val="clear" w:color="auto" w:fill="FFF8E1"/>
          </w:tcPr>
          <w:p>
            <w:r>
              <w:rPr>
                <w:sz w:val="18"/>
              </w:rPr>
            </w:r>
          </w:p>
        </w:tc>
      </w:tr>
      <w:tr>
        <w:trPr>
          <w:trHeight w:val="567"/>
        </w:trPr>
        <w:tc>
          <w:tcPr>
            <w:tcW w:type="dxa" w:w="4337"/>
          </w:tcPr>
          <w:p>
            <w:r>
              <w:rPr>
                <w:sz w:val="18"/>
              </w:rPr>
              <w:t>Nombre d’agents aujourd’hui et dans trois ans (Personnes qui traitent les tickets, par équipe)</w:t>
            </w:r>
          </w:p>
        </w:tc>
        <w:tc>
          <w:tcPr>
            <w:tcW w:type="dxa" w:w="5301"/>
            <w:shd w:val="clear" w:color="auto" w:fill="FFF8E1"/>
          </w:tcPr>
          <w:p>
            <w:r>
              <w:rPr>
                <w:sz w:val="18"/>
              </w:rPr>
            </w:r>
          </w:p>
        </w:tc>
      </w:tr>
      <w:tr>
        <w:trPr>
          <w:trHeight w:val="567"/>
        </w:trPr>
        <w:tc>
          <w:tcPr>
            <w:tcW w:type="dxa" w:w="4337"/>
          </w:tcPr>
          <w:p>
            <w:r>
              <w:rPr>
                <w:sz w:val="18"/>
              </w:rPr>
              <w:t>Tickets par mois (Incidents et demandes, avec les pics)</w:t>
            </w:r>
          </w:p>
        </w:tc>
        <w:tc>
          <w:tcPr>
            <w:tcW w:type="dxa" w:w="5301"/>
            <w:shd w:val="clear" w:color="auto" w:fill="FFF8E1"/>
          </w:tcPr>
          <w:p>
            <w:r>
              <w:rPr>
                <w:sz w:val="18"/>
              </w:rPr>
            </w:r>
          </w:p>
        </w:tc>
      </w:tr>
      <w:tr>
        <w:trPr>
          <w:trHeight w:val="567"/>
        </w:trPr>
        <w:tc>
          <w:tcPr>
            <w:tcW w:type="dxa" w:w="4337"/>
          </w:tcPr>
          <w:p>
            <w:r>
              <w:rPr>
                <w:sz w:val="18"/>
              </w:rPr>
              <w:t>Langues nécessaires (Portail, interface agent, notifications)</w:t>
            </w:r>
          </w:p>
        </w:tc>
        <w:tc>
          <w:tcPr>
            <w:tcW w:type="dxa" w:w="5301"/>
            <w:shd w:val="clear" w:color="auto" w:fill="FFF8E1"/>
          </w:tcPr>
          <w:p>
            <w:r>
              <w:rPr>
                <w:sz w:val="18"/>
              </w:rPr>
            </w:r>
          </w:p>
        </w:tc>
      </w:tr>
      <w:tr>
        <w:trPr>
          <w:trHeight w:val="567"/>
        </w:trPr>
        <w:tc>
          <w:tcPr>
            <w:tcW w:type="dxa" w:w="4337"/>
          </w:tcPr>
          <w:p>
            <w:r>
              <w:rPr>
                <w:sz w:val="18"/>
              </w:rPr>
              <w:t>Sites et horaires de support</w:t>
            </w:r>
          </w:p>
        </w:tc>
        <w:tc>
          <w:tcPr>
            <w:tcW w:type="dxa" w:w="5301"/>
            <w:shd w:val="clear" w:color="auto" w:fill="FFF8E1"/>
          </w:tcPr>
          <w:p>
            <w:r>
              <w:rPr>
                <w:sz w:val="18"/>
              </w:rPr>
            </w:r>
          </w:p>
        </w:tc>
      </w:tr>
      <w:tr>
        <w:trPr>
          <w:trHeight w:val="567"/>
        </w:trPr>
        <w:tc>
          <w:tcPr>
            <w:tcW w:type="dxa" w:w="4337"/>
          </w:tcPr>
          <w:p>
            <w:r>
              <w:rPr>
                <w:sz w:val="18"/>
              </w:rPr>
              <w:t>Outil actuel et date de fin du contrat</w:t>
            </w:r>
          </w:p>
        </w:tc>
        <w:tc>
          <w:tcPr>
            <w:tcW w:type="dxa" w:w="5301"/>
            <w:shd w:val="clear" w:color="auto" w:fill="FFF8E1"/>
          </w:tcPr>
          <w:p>
            <w:r>
              <w:rPr>
                <w:sz w:val="18"/>
              </w:rPr>
            </w:r>
          </w:p>
        </w:tc>
      </w:tr>
    </w:tbl>
    <w:p/>
    <w:p>
      <w:pPr>
        <w:pStyle w:val="Heading1"/>
      </w:pPr>
      <w:r>
        <w:t>2. Périmètre et objectifs</w:t>
      </w:r>
    </w:p>
    <w:tbl>
      <w:tblPr>
        <w:tblStyle w:val="TableGrid"/>
        <w:tblW w:type="auto" w:w="0"/>
        <w:jc w:val="center"/>
        <w:tblLayout w:type="fixed"/>
        <w:tblLook w:firstColumn="1" w:firstRow="1" w:lastColumn="0" w:lastRow="0" w:noHBand="0" w:noVBand="1" w:val="04A0"/>
      </w:tblPr>
      <w:tblGrid>
        <w:gridCol w:w="4337"/>
        <w:gridCol w:w="5301"/>
      </w:tblGrid>
      <w:tr>
        <w:trPr>
          <w:trHeight w:val="567"/>
        </w:trPr>
        <w:tc>
          <w:tcPr>
            <w:tcW w:type="dxa" w:w="4337"/>
          </w:tcPr>
          <w:p>
            <w:r>
              <w:rPr>
                <w:sz w:val="18"/>
              </w:rPr>
              <w:t>Pourquoi vous changez d’outil ou en choisissez un (Les problèmes que le nouvel outil doit résoudre)</w:t>
            </w:r>
          </w:p>
        </w:tc>
        <w:tc>
          <w:tcPr>
            <w:tcW w:type="dxa" w:w="5301"/>
            <w:shd w:val="clear" w:color="auto" w:fill="FFF8E1"/>
          </w:tcPr>
          <w:p>
            <w:r>
              <w:rPr>
                <w:sz w:val="18"/>
              </w:rPr>
            </w:r>
          </w:p>
        </w:tc>
      </w:tr>
      <w:tr>
        <w:trPr>
          <w:trHeight w:val="567"/>
        </w:trPr>
        <w:tc>
          <w:tcPr>
            <w:tcW w:type="dxa" w:w="4337"/>
          </w:tcPr>
          <w:p>
            <w:r>
              <w:rPr>
                <w:sz w:val="18"/>
              </w:rPr>
              <w:t>Processus ITIL dans le périmètre</w:t>
            </w:r>
          </w:p>
        </w:tc>
        <w:tc>
          <w:tcPr>
            <w:tcW w:type="dxa" w:w="5301"/>
            <w:shd w:val="clear" w:color="auto" w:fill="FFF8E1"/>
          </w:tcPr>
          <w:p>
            <w:r>
              <w:rPr>
                <w:sz w:val="18"/>
              </w:rPr>
            </w:r>
          </w:p>
        </w:tc>
      </w:tr>
      <w:tr>
        <w:trPr>
          <w:trHeight w:val="567"/>
        </w:trPr>
        <w:tc>
          <w:tcPr>
            <w:tcW w:type="dxa" w:w="4337"/>
          </w:tcPr>
          <w:p>
            <w:r>
              <w:rPr>
                <w:sz w:val="18"/>
              </w:rPr>
              <w:t>Services hors IT concernés (RH, services généraux, finance, autres)</w:t>
            </w:r>
          </w:p>
        </w:tc>
        <w:tc>
          <w:tcPr>
            <w:tcW w:type="dxa" w:w="5301"/>
            <w:shd w:val="clear" w:color="auto" w:fill="FFF8E1"/>
          </w:tcPr>
          <w:p>
            <w:r>
              <w:rPr>
                <w:sz w:val="18"/>
              </w:rPr>
            </w:r>
          </w:p>
        </w:tc>
      </w:tr>
      <w:tr>
        <w:trPr>
          <w:trHeight w:val="567"/>
        </w:trPr>
        <w:tc>
          <w:tcPr>
            <w:tcW w:type="dxa" w:w="4337"/>
          </w:tcPr>
          <w:p>
            <w:r>
              <w:rPr>
                <w:sz w:val="18"/>
              </w:rPr>
              <w:t>Date de mise en production visée</w:t>
            </w:r>
          </w:p>
        </w:tc>
        <w:tc>
          <w:tcPr>
            <w:tcW w:type="dxa" w:w="5301"/>
            <w:shd w:val="clear" w:color="auto" w:fill="FFF8E1"/>
          </w:tcPr>
          <w:p>
            <w:r>
              <w:rPr>
                <w:sz w:val="18"/>
              </w:rPr>
            </w:r>
          </w:p>
        </w:tc>
      </w:tr>
      <w:tr>
        <w:trPr>
          <w:trHeight w:val="567"/>
        </w:trPr>
        <w:tc>
          <w:tcPr>
            <w:tcW w:type="dxa" w:w="4337"/>
          </w:tcPr>
          <w:p>
            <w:r>
              <w:rPr>
                <w:sz w:val="18"/>
              </w:rPr>
              <w:t>Fourchette de budget sur trois ans</w:t>
            </w:r>
          </w:p>
        </w:tc>
        <w:tc>
          <w:tcPr>
            <w:tcW w:type="dxa" w:w="5301"/>
            <w:shd w:val="clear" w:color="auto" w:fill="FFF8E1"/>
          </w:tcPr>
          <w:p>
            <w:r>
              <w:rPr>
                <w:sz w:val="18"/>
              </w:rPr>
            </w:r>
          </w:p>
        </w:tc>
      </w:tr>
      <w:tr>
        <w:trPr>
          <w:trHeight w:val="567"/>
        </w:trPr>
        <w:tc>
          <w:tcPr>
            <w:tcW w:type="dxa" w:w="4337"/>
          </w:tcPr>
          <w:p>
            <w:r>
              <w:rPr>
                <w:sz w:val="18"/>
              </w:rPr>
              <w:t>Décideurs et équipe d’évaluation</w:t>
            </w:r>
          </w:p>
        </w:tc>
        <w:tc>
          <w:tcPr>
            <w:tcW w:type="dxa" w:w="5301"/>
            <w:shd w:val="clear" w:color="auto" w:fill="FFF8E1"/>
          </w:tcPr>
          <w:p>
            <w:r>
              <w:rPr>
                <w:sz w:val="18"/>
              </w:rPr>
            </w:r>
          </w:p>
        </w:tc>
      </w:tr>
    </w:tbl>
    <w:p/>
    <w:p>
      <w:pPr>
        <w:pStyle w:val="Heading1"/>
      </w:pPr>
      <w:r>
        <w:t>3. Calendrier de l’appel d’offres</w:t>
      </w:r>
    </w:p>
    <w:tbl>
      <w:tblPr>
        <w:tblStyle w:val="TableGrid"/>
        <w:tblW w:type="auto" w:w="0"/>
        <w:jc w:val="center"/>
        <w:tblLayout w:type="fixed"/>
        <w:tblLook w:firstColumn="1" w:firstRow="1" w:lastColumn="0" w:lastRow="0" w:noHBand="0" w:noVBand="1" w:val="04A0"/>
      </w:tblPr>
      <w:tblGrid>
        <w:gridCol w:w="6746"/>
        <w:gridCol w:w="2891"/>
      </w:tblGrid>
      <w:tr>
        <w:tc>
          <w:tcPr>
            <w:tcW w:type="dxa" w:w="6746"/>
            <w:shd w:val="clear" w:color="auto" w:fill="0F3A5F"/>
          </w:tcPr>
          <w:p>
            <w:r/>
            <w:r>
              <w:rPr>
                <w:b/>
                <w:color w:val="FFFFFF"/>
                <w:sz w:val="18"/>
              </w:rPr>
              <w:t>Étape</w:t>
            </w:r>
          </w:p>
        </w:tc>
        <w:tc>
          <w:tcPr>
            <w:tcW w:type="dxa" w:w="2891"/>
            <w:shd w:val="clear" w:color="auto" w:fill="0F3A5F"/>
          </w:tcPr>
          <w:p>
            <w:r/>
            <w:r>
              <w:rPr>
                <w:b/>
                <w:color w:val="FFFFFF"/>
                <w:sz w:val="18"/>
              </w:rPr>
              <w:t>Date</w:t>
            </w:r>
          </w:p>
        </w:tc>
      </w:tr>
      <w:tr>
        <w:tc>
          <w:tcPr>
            <w:tcW w:type="dxa" w:w="6746"/>
          </w:tcPr>
          <w:p>
            <w:r>
              <w:rPr>
                <w:sz w:val="18"/>
              </w:rPr>
              <w:t>Envoi du cahier des charges aux éditeurs et partenaires</w:t>
            </w:r>
          </w:p>
        </w:tc>
        <w:tc>
          <w:tcPr>
            <w:tcW w:type="dxa" w:w="2891"/>
            <w:shd w:val="clear" w:color="auto" w:fill="FFF8E1"/>
          </w:tcPr>
          <w:p>
            <w:r>
              <w:rPr>
                <w:sz w:val="18"/>
              </w:rPr>
            </w:r>
          </w:p>
        </w:tc>
      </w:tr>
      <w:tr>
        <w:tc>
          <w:tcPr>
            <w:tcW w:type="dxa" w:w="6746"/>
          </w:tcPr>
          <w:p>
            <w:r>
              <w:rPr>
                <w:sz w:val="18"/>
              </w:rPr>
              <w:t>Date limite des questions des éditeurs</w:t>
            </w:r>
          </w:p>
        </w:tc>
        <w:tc>
          <w:tcPr>
            <w:tcW w:type="dxa" w:w="2891"/>
            <w:shd w:val="clear" w:color="auto" w:fill="FFF8E1"/>
          </w:tcPr>
          <w:p>
            <w:r>
              <w:rPr>
                <w:sz w:val="18"/>
              </w:rPr>
            </w:r>
          </w:p>
        </w:tc>
      </w:tr>
      <w:tr>
        <w:tc>
          <w:tcPr>
            <w:tcW w:type="dxa" w:w="6746"/>
          </w:tcPr>
          <w:p>
            <w:r>
              <w:rPr>
                <w:sz w:val="18"/>
              </w:rPr>
              <w:t>Date limite de remise des réponses</w:t>
            </w:r>
          </w:p>
        </w:tc>
        <w:tc>
          <w:tcPr>
            <w:tcW w:type="dxa" w:w="2891"/>
            <w:shd w:val="clear" w:color="auto" w:fill="FFF8E1"/>
          </w:tcPr>
          <w:p>
            <w:r>
              <w:rPr>
                <w:sz w:val="18"/>
              </w:rPr>
            </w:r>
          </w:p>
        </w:tc>
      </w:tr>
      <w:tr>
        <w:tc>
          <w:tcPr>
            <w:tcW w:type="dxa" w:w="6746"/>
          </w:tcPr>
          <w:p>
            <w:r>
              <w:rPr>
                <w:sz w:val="18"/>
              </w:rPr>
              <w:t>Annonce de la short-list</w:t>
            </w:r>
          </w:p>
        </w:tc>
        <w:tc>
          <w:tcPr>
            <w:tcW w:type="dxa" w:w="2891"/>
            <w:shd w:val="clear" w:color="auto" w:fill="FFF8E1"/>
          </w:tcPr>
          <w:p>
            <w:r>
              <w:rPr>
                <w:sz w:val="18"/>
              </w:rPr>
            </w:r>
          </w:p>
        </w:tc>
      </w:tr>
      <w:tr>
        <w:tc>
          <w:tcPr>
            <w:tcW w:type="dxa" w:w="6746"/>
          </w:tcPr>
          <w:p>
            <w:r>
              <w:rPr>
                <w:sz w:val="18"/>
              </w:rPr>
              <w:t>Démos scénarisées sur vos cas d’usage</w:t>
            </w:r>
          </w:p>
        </w:tc>
        <w:tc>
          <w:tcPr>
            <w:tcW w:type="dxa" w:w="2891"/>
            <w:shd w:val="clear" w:color="auto" w:fill="FFF8E1"/>
          </w:tcPr>
          <w:p>
            <w:r>
              <w:rPr>
                <w:sz w:val="18"/>
              </w:rPr>
            </w:r>
          </w:p>
        </w:tc>
      </w:tr>
      <w:tr>
        <w:tc>
          <w:tcPr>
            <w:tcW w:type="dxa" w:w="6746"/>
          </w:tcPr>
          <w:p>
            <w:r>
              <w:rPr>
                <w:sz w:val="18"/>
              </w:rPr>
              <w:t>Preuve de concept (facultative)</w:t>
            </w:r>
          </w:p>
        </w:tc>
        <w:tc>
          <w:tcPr>
            <w:tcW w:type="dxa" w:w="2891"/>
            <w:shd w:val="clear" w:color="auto" w:fill="FFF8E1"/>
          </w:tcPr>
          <w:p>
            <w:r>
              <w:rPr>
                <w:sz w:val="18"/>
              </w:rPr>
            </w:r>
          </w:p>
        </w:tc>
      </w:tr>
      <w:tr>
        <w:tc>
          <w:tcPr>
            <w:tcW w:type="dxa" w:w="6746"/>
          </w:tcPr>
          <w:p>
            <w:r>
              <w:rPr>
                <w:sz w:val="18"/>
              </w:rPr>
              <w:t>Décision et signature du contrat</w:t>
            </w:r>
          </w:p>
        </w:tc>
        <w:tc>
          <w:tcPr>
            <w:tcW w:type="dxa" w:w="2891"/>
            <w:shd w:val="clear" w:color="auto" w:fill="FFF8E1"/>
          </w:tcPr>
          <w:p>
            <w:r>
              <w:rPr>
                <w:sz w:val="18"/>
              </w:rPr>
            </w:r>
          </w:p>
        </w:tc>
      </w:tr>
    </w:tbl>
    <w:p/>
    <w:p>
      <w:pPr>
        <w:pStyle w:val="Heading1"/>
      </w:pPr>
      <w:r>
        <w:t>4. Couverture des processus ITIL</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Réf.</w:t>
            </w:r>
          </w:p>
        </w:tc>
        <w:tc>
          <w:tcPr>
            <w:tcW w:type="dxa" w:w="4337"/>
            <w:shd w:val="clear" w:color="auto" w:fill="0F3A5F"/>
          </w:tcPr>
          <w:p>
            <w:r/>
            <w:r>
              <w:rPr>
                <w:b/>
                <w:color w:val="FFFFFF"/>
                <w:sz w:val="18"/>
              </w:rPr>
              <w:t>Exigence</w:t>
            </w:r>
          </w:p>
        </w:tc>
        <w:tc>
          <w:tcPr>
            <w:tcW w:type="dxa" w:w="1157"/>
            <w:shd w:val="clear" w:color="auto" w:fill="0F3A5F"/>
          </w:tcPr>
          <w:p>
            <w:r/>
            <w:r>
              <w:rPr>
                <w:b/>
                <w:color w:val="FFFFFF"/>
                <w:sz w:val="18"/>
              </w:rPr>
              <w:t>Priorité (I/S/O)</w:t>
            </w:r>
          </w:p>
        </w:tc>
        <w:tc>
          <w:tcPr>
            <w:tcW w:type="dxa" w:w="1542"/>
            <w:shd w:val="clear" w:color="auto" w:fill="0F3A5F"/>
          </w:tcPr>
          <w:p>
            <w:r/>
            <w:r>
              <w:rPr>
                <w:b/>
                <w:color w:val="FFFFFF"/>
                <w:sz w:val="18"/>
              </w:rPr>
              <w:t>Réponse de l’éditeur</w:t>
            </w:r>
          </w:p>
        </w:tc>
        <w:tc>
          <w:tcPr>
            <w:tcW w:type="dxa" w:w="1735"/>
            <w:shd w:val="clear" w:color="auto" w:fill="0F3A5F"/>
          </w:tcPr>
          <w:p>
            <w:r/>
            <w:r>
              <w:rPr>
                <w:b/>
                <w:color w:val="FFFFFF"/>
                <w:sz w:val="18"/>
              </w:rPr>
              <w:t>Commentaire</w:t>
            </w:r>
          </w:p>
        </w:tc>
      </w:tr>
      <w:tr>
        <w:tc>
          <w:tcPr>
            <w:tcW w:type="dxa" w:w="867"/>
          </w:tcPr>
          <w:p>
            <w:r>
              <w:rPr>
                <w:sz w:val="18"/>
              </w:rPr>
              <w:t>R-01</w:t>
            </w:r>
          </w:p>
        </w:tc>
        <w:tc>
          <w:tcPr>
            <w:tcW w:type="dxa" w:w="4337"/>
          </w:tcPr>
          <w:p>
            <w:r>
              <w:rPr>
                <w:sz w:val="18"/>
              </w:rPr>
              <w:t>Gestion des incidents avec une matrice de priorité (impact × urgence), une procédure d’incident majeur et des notifications d’astreinte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R-02</w:t>
            </w:r>
          </w:p>
        </w:tc>
        <w:tc>
          <w:tcPr>
            <w:tcW w:type="dxa" w:w="4337"/>
          </w:tcPr>
          <w:p>
            <w:r>
              <w:rPr>
                <w:sz w:val="18"/>
              </w:rPr>
              <w:t>Gestion des demandes de service avec un catalogue de services, des formulaires de demande et des circuits d’approbation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R-03</w:t>
            </w:r>
          </w:p>
        </w:tc>
        <w:tc>
          <w:tcPr>
            <w:tcW w:type="dxa" w:w="4337"/>
          </w:tcPr>
          <w:p>
            <w:r>
              <w:rPr>
                <w:sz w:val="18"/>
              </w:rPr>
              <w:t>Gestion des problèmes avec analyse des causes, erreurs connues et liens vers les incidents et les changements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R-04</w:t>
            </w:r>
          </w:p>
        </w:tc>
        <w:tc>
          <w:tcPr>
            <w:tcW w:type="dxa" w:w="4337"/>
          </w:tcPr>
          <w:p>
            <w:r>
              <w:rPr>
                <w:sz w:val="18"/>
              </w:rPr>
              <w:t>Gestion des changements avec un calendrier des changements, une évaluation des risques, des approbations (CAB) et des changements standard</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R-05</w:t>
            </w:r>
          </w:p>
        </w:tc>
        <w:tc>
          <w:tcPr>
            <w:tcW w:type="dxa" w:w="4337"/>
          </w:tcPr>
          <w:p>
            <w:r>
              <w:rPr>
                <w:sz w:val="18"/>
              </w:rPr>
              <w:t>Gestion des niveaux de service : SLA et OLA par priorité et par service, règles de suspension et alertes de dépassement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R-06</w:t>
            </w:r>
          </w:p>
        </w:tc>
        <w:tc>
          <w:tcPr>
            <w:tcW w:type="dxa" w:w="4337"/>
          </w:tcPr>
          <w:p>
            <w:r>
              <w:rPr>
                <w:sz w:val="18"/>
              </w:rPr>
              <w:t>Gestion des connaissances : cycle de vie des articles, validation et recherche depuis le portail et la console agent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R-07</w:t>
            </w:r>
          </w:p>
        </w:tc>
        <w:tc>
          <w:tcPr>
            <w:tcW w:type="dxa" w:w="4337"/>
          </w:tcPr>
          <w:p>
            <w:r>
              <w:rPr>
                <w:sz w:val="18"/>
              </w:rPr>
              <w:t>Présence dans le registre PeopleCert des logiciels certifiés ITIL 4 : préciser le niveau et les pratiques certifiées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5. Gestion des services d’entreprise (ESM)</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Réf.</w:t>
            </w:r>
          </w:p>
        </w:tc>
        <w:tc>
          <w:tcPr>
            <w:tcW w:type="dxa" w:w="4337"/>
            <w:shd w:val="clear" w:color="auto" w:fill="0F3A5F"/>
          </w:tcPr>
          <w:p>
            <w:r/>
            <w:r>
              <w:rPr>
                <w:b/>
                <w:color w:val="FFFFFF"/>
                <w:sz w:val="18"/>
              </w:rPr>
              <w:t>Exigence</w:t>
            </w:r>
          </w:p>
        </w:tc>
        <w:tc>
          <w:tcPr>
            <w:tcW w:type="dxa" w:w="1157"/>
            <w:shd w:val="clear" w:color="auto" w:fill="0F3A5F"/>
          </w:tcPr>
          <w:p>
            <w:r/>
            <w:r>
              <w:rPr>
                <w:b/>
                <w:color w:val="FFFFFF"/>
                <w:sz w:val="18"/>
              </w:rPr>
              <w:t>Priorité (I/S/O)</w:t>
            </w:r>
          </w:p>
        </w:tc>
        <w:tc>
          <w:tcPr>
            <w:tcW w:type="dxa" w:w="1542"/>
            <w:shd w:val="clear" w:color="auto" w:fill="0F3A5F"/>
          </w:tcPr>
          <w:p>
            <w:r/>
            <w:r>
              <w:rPr>
                <w:b/>
                <w:color w:val="FFFFFF"/>
                <w:sz w:val="18"/>
              </w:rPr>
              <w:t>Réponse de l’éditeur</w:t>
            </w:r>
          </w:p>
        </w:tc>
        <w:tc>
          <w:tcPr>
            <w:tcW w:type="dxa" w:w="1735"/>
            <w:shd w:val="clear" w:color="auto" w:fill="0F3A5F"/>
          </w:tcPr>
          <w:p>
            <w:r/>
            <w:r>
              <w:rPr>
                <w:b/>
                <w:color w:val="FFFFFF"/>
                <w:sz w:val="18"/>
              </w:rPr>
              <w:t>Commentaire</w:t>
            </w:r>
          </w:p>
        </w:tc>
      </w:tr>
      <w:tr>
        <w:tc>
          <w:tcPr>
            <w:tcW w:type="dxa" w:w="867"/>
          </w:tcPr>
          <w:p>
            <w:r>
              <w:rPr>
                <w:sz w:val="18"/>
              </w:rPr>
              <w:t>R-08</w:t>
            </w:r>
          </w:p>
        </w:tc>
        <w:tc>
          <w:tcPr>
            <w:tcW w:type="dxa" w:w="4337"/>
          </w:tcPr>
          <w:p>
            <w:r>
              <w:rPr>
                <w:sz w:val="18"/>
              </w:rPr>
              <w:t>Les RH, les services généraux, la finance ou d’autres services peuvent gérer leurs propres services sur la même plateforme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R-09</w:t>
            </w:r>
          </w:p>
        </w:tc>
        <w:tc>
          <w:tcPr>
            <w:tcW w:type="dxa" w:w="4337"/>
          </w:tcPr>
          <w:p>
            <w:r>
              <w:rPr>
                <w:sz w:val="18"/>
              </w:rPr>
              <w:t>Catalogues, portails, workflows et droits distincts par service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R-10</w:t>
            </w:r>
          </w:p>
        </w:tc>
        <w:tc>
          <w:tcPr>
            <w:tcW w:type="dxa" w:w="4337"/>
          </w:tcPr>
          <w:p>
            <w:r>
              <w:rPr>
                <w:sz w:val="18"/>
              </w:rPr>
              <w:t>Coût de licence des agents hors IT, et des utilisateurs occasionnels ou simples approbateurs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6. CMDB et gestion des actifs IT</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Réf.</w:t>
            </w:r>
          </w:p>
        </w:tc>
        <w:tc>
          <w:tcPr>
            <w:tcW w:type="dxa" w:w="4337"/>
            <w:shd w:val="clear" w:color="auto" w:fill="0F3A5F"/>
          </w:tcPr>
          <w:p>
            <w:r/>
            <w:r>
              <w:rPr>
                <w:b/>
                <w:color w:val="FFFFFF"/>
                <w:sz w:val="18"/>
              </w:rPr>
              <w:t>Exigence</w:t>
            </w:r>
          </w:p>
        </w:tc>
        <w:tc>
          <w:tcPr>
            <w:tcW w:type="dxa" w:w="1157"/>
            <w:shd w:val="clear" w:color="auto" w:fill="0F3A5F"/>
          </w:tcPr>
          <w:p>
            <w:r/>
            <w:r>
              <w:rPr>
                <w:b/>
                <w:color w:val="FFFFFF"/>
                <w:sz w:val="18"/>
              </w:rPr>
              <w:t>Priorité (I/S/O)</w:t>
            </w:r>
          </w:p>
        </w:tc>
        <w:tc>
          <w:tcPr>
            <w:tcW w:type="dxa" w:w="1542"/>
            <w:shd w:val="clear" w:color="auto" w:fill="0F3A5F"/>
          </w:tcPr>
          <w:p>
            <w:r/>
            <w:r>
              <w:rPr>
                <w:b/>
                <w:color w:val="FFFFFF"/>
                <w:sz w:val="18"/>
              </w:rPr>
              <w:t>Réponse de l’éditeur</w:t>
            </w:r>
          </w:p>
        </w:tc>
        <w:tc>
          <w:tcPr>
            <w:tcW w:type="dxa" w:w="1735"/>
            <w:shd w:val="clear" w:color="auto" w:fill="0F3A5F"/>
          </w:tcPr>
          <w:p>
            <w:r/>
            <w:r>
              <w:rPr>
                <w:b/>
                <w:color w:val="FFFFFF"/>
                <w:sz w:val="18"/>
              </w:rPr>
              <w:t>Commentaire</w:t>
            </w:r>
          </w:p>
        </w:tc>
      </w:tr>
      <w:tr>
        <w:tc>
          <w:tcPr>
            <w:tcW w:type="dxa" w:w="867"/>
          </w:tcPr>
          <w:p>
            <w:r>
              <w:rPr>
                <w:sz w:val="18"/>
              </w:rPr>
              <w:t>R-11</w:t>
            </w:r>
          </w:p>
        </w:tc>
        <w:tc>
          <w:tcPr>
            <w:tcW w:type="dxa" w:w="4337"/>
          </w:tcPr>
          <w:p>
            <w:r>
              <w:rPr>
                <w:sz w:val="18"/>
              </w:rPr>
              <w:t>Modèle de données de la CMDB : classes d’éléments de configuration, attributs et relations, avec une vue d’impact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R-12</w:t>
            </w:r>
          </w:p>
        </w:tc>
        <w:tc>
          <w:tcPr>
            <w:tcW w:type="dxa" w:w="4337"/>
          </w:tcPr>
          <w:p>
            <w:r>
              <w:rPr>
                <w:sz w:val="18"/>
              </w:rPr>
              <w:t>Découverte : agent ou scanner natif, ou connecteurs vers des outils de découverte et de gestion des appareils (préciser lesquels)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R-13</w:t>
            </w:r>
          </w:p>
        </w:tc>
        <w:tc>
          <w:tcPr>
            <w:tcW w:type="dxa" w:w="4337"/>
          </w:tcPr>
          <w:p>
            <w:r>
              <w:rPr>
                <w:sz w:val="18"/>
              </w:rPr>
              <w:t>Cycle de vie des actifs matériels et logiciels, contrats, garanties et licences logicielles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R-14</w:t>
            </w:r>
          </w:p>
        </w:tc>
        <w:tc>
          <w:tcPr>
            <w:tcW w:type="dxa" w:w="4337"/>
          </w:tcPr>
          <w:p>
            <w:r>
              <w:rPr>
                <w:sz w:val="18"/>
              </w:rPr>
              <w:t>Comment les données de configuration restent à jour sans travail manuel, et qui est responsable de chaque source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7. Intégrations</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Réf.</w:t>
            </w:r>
          </w:p>
        </w:tc>
        <w:tc>
          <w:tcPr>
            <w:tcW w:type="dxa" w:w="4337"/>
            <w:shd w:val="clear" w:color="auto" w:fill="0F3A5F"/>
          </w:tcPr>
          <w:p>
            <w:r/>
            <w:r>
              <w:rPr>
                <w:b/>
                <w:color w:val="FFFFFF"/>
                <w:sz w:val="18"/>
              </w:rPr>
              <w:t>Exigence</w:t>
            </w:r>
          </w:p>
        </w:tc>
        <w:tc>
          <w:tcPr>
            <w:tcW w:type="dxa" w:w="1157"/>
            <w:shd w:val="clear" w:color="auto" w:fill="0F3A5F"/>
          </w:tcPr>
          <w:p>
            <w:r/>
            <w:r>
              <w:rPr>
                <w:b/>
                <w:color w:val="FFFFFF"/>
                <w:sz w:val="18"/>
              </w:rPr>
              <w:t>Priorité (I/S/O)</w:t>
            </w:r>
          </w:p>
        </w:tc>
        <w:tc>
          <w:tcPr>
            <w:tcW w:type="dxa" w:w="1542"/>
            <w:shd w:val="clear" w:color="auto" w:fill="0F3A5F"/>
          </w:tcPr>
          <w:p>
            <w:r/>
            <w:r>
              <w:rPr>
                <w:b/>
                <w:color w:val="FFFFFF"/>
                <w:sz w:val="18"/>
              </w:rPr>
              <w:t>Réponse de l’éditeur</w:t>
            </w:r>
          </w:p>
        </w:tc>
        <w:tc>
          <w:tcPr>
            <w:tcW w:type="dxa" w:w="1735"/>
            <w:shd w:val="clear" w:color="auto" w:fill="0F3A5F"/>
          </w:tcPr>
          <w:p>
            <w:r/>
            <w:r>
              <w:rPr>
                <w:b/>
                <w:color w:val="FFFFFF"/>
                <w:sz w:val="18"/>
              </w:rPr>
              <w:t>Commentaire</w:t>
            </w:r>
          </w:p>
        </w:tc>
      </w:tr>
      <w:tr>
        <w:tc>
          <w:tcPr>
            <w:tcW w:type="dxa" w:w="867"/>
          </w:tcPr>
          <w:p>
            <w:r>
              <w:rPr>
                <w:sz w:val="18"/>
              </w:rPr>
              <w:t>R-15</w:t>
            </w:r>
          </w:p>
        </w:tc>
        <w:tc>
          <w:tcPr>
            <w:tcW w:type="dxa" w:w="4337"/>
          </w:tcPr>
          <w:p>
            <w:r>
              <w:rPr>
                <w:sz w:val="18"/>
              </w:rPr>
              <w:t>Synchronisation de l’annuaire (Entra ID ou Active Directory), authentification unique (SAML ou OIDC) et provisionnement SCIM</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R-16</w:t>
            </w:r>
          </w:p>
        </w:tc>
        <w:tc>
          <w:tcPr>
            <w:tcW w:type="dxa" w:w="4337"/>
          </w:tcPr>
          <w:p>
            <w:r>
              <w:rPr>
                <w:sz w:val="18"/>
              </w:rPr>
              <w:t>Messagerie entrante et sortante : tickets depuis des boîtes mail, réponses et notifications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R-17</w:t>
            </w:r>
          </w:p>
        </w:tc>
        <w:tc>
          <w:tcPr>
            <w:tcW w:type="dxa" w:w="4337"/>
          </w:tcPr>
          <w:p>
            <w:r>
              <w:rPr>
                <w:sz w:val="18"/>
              </w:rPr>
              <w:t>Microsoft Teams ou Slack : créer et suivre des tickets, approuver des demandes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R-18</w:t>
            </w:r>
          </w:p>
        </w:tc>
        <w:tc>
          <w:tcPr>
            <w:tcW w:type="dxa" w:w="4337"/>
          </w:tcPr>
          <w:p>
            <w:r>
              <w:rPr>
                <w:sz w:val="18"/>
              </w:rPr>
              <w:t>Outils de supervision : alertes transformées automatiquement en incidents, sans doublons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R-19</w:t>
            </w:r>
          </w:p>
        </w:tc>
        <w:tc>
          <w:tcPr>
            <w:tcW w:type="dxa" w:w="4337"/>
          </w:tcPr>
          <w:p>
            <w:r>
              <w:rPr>
                <w:sz w:val="18"/>
              </w:rPr>
              <w:t>Couverture de l’API REST, webhooks et limites d’appels pour tout le reste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R-20</w:t>
            </w:r>
          </w:p>
        </w:tc>
        <w:tc>
          <w:tcPr>
            <w:tcW w:type="dxa" w:w="4337"/>
          </w:tcPr>
          <w:p>
            <w:r>
              <w:rPr>
                <w:sz w:val="18"/>
              </w:rPr>
              <w:t>Systèmes à connecter (ERP, SIRH, autres) : les lister ici</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8. IA et automatisation</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Réf.</w:t>
            </w:r>
          </w:p>
        </w:tc>
        <w:tc>
          <w:tcPr>
            <w:tcW w:type="dxa" w:w="4337"/>
            <w:shd w:val="clear" w:color="auto" w:fill="0F3A5F"/>
          </w:tcPr>
          <w:p>
            <w:r/>
            <w:r>
              <w:rPr>
                <w:b/>
                <w:color w:val="FFFFFF"/>
                <w:sz w:val="18"/>
              </w:rPr>
              <w:t>Exigence</w:t>
            </w:r>
          </w:p>
        </w:tc>
        <w:tc>
          <w:tcPr>
            <w:tcW w:type="dxa" w:w="1157"/>
            <w:shd w:val="clear" w:color="auto" w:fill="0F3A5F"/>
          </w:tcPr>
          <w:p>
            <w:r/>
            <w:r>
              <w:rPr>
                <w:b/>
                <w:color w:val="FFFFFF"/>
                <w:sz w:val="18"/>
              </w:rPr>
              <w:t>Priorité (I/S/O)</w:t>
            </w:r>
          </w:p>
        </w:tc>
        <w:tc>
          <w:tcPr>
            <w:tcW w:type="dxa" w:w="1542"/>
            <w:shd w:val="clear" w:color="auto" w:fill="0F3A5F"/>
          </w:tcPr>
          <w:p>
            <w:r/>
            <w:r>
              <w:rPr>
                <w:b/>
                <w:color w:val="FFFFFF"/>
                <w:sz w:val="18"/>
              </w:rPr>
              <w:t>Réponse de l’éditeur</w:t>
            </w:r>
          </w:p>
        </w:tc>
        <w:tc>
          <w:tcPr>
            <w:tcW w:type="dxa" w:w="1735"/>
            <w:shd w:val="clear" w:color="auto" w:fill="0F3A5F"/>
          </w:tcPr>
          <w:p>
            <w:r/>
            <w:r>
              <w:rPr>
                <w:b/>
                <w:color w:val="FFFFFF"/>
                <w:sz w:val="18"/>
              </w:rPr>
              <w:t>Commentaire</w:t>
            </w:r>
          </w:p>
        </w:tc>
      </w:tr>
      <w:tr>
        <w:tc>
          <w:tcPr>
            <w:tcW w:type="dxa" w:w="867"/>
          </w:tcPr>
          <w:p>
            <w:r>
              <w:rPr>
                <w:sz w:val="18"/>
              </w:rPr>
              <w:t>R-21</w:t>
            </w:r>
          </w:p>
        </w:tc>
        <w:tc>
          <w:tcPr>
            <w:tcW w:type="dxa" w:w="4337"/>
          </w:tcPr>
          <w:p>
            <w:r>
              <w:rPr>
                <w:sz w:val="18"/>
              </w:rPr>
              <w:t>Concepteur de workflows sans code pour le routage, les approbations et les tâches répétitives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R-22</w:t>
            </w:r>
          </w:p>
        </w:tc>
        <w:tc>
          <w:tcPr>
            <w:tcW w:type="dxa" w:w="4337"/>
          </w:tcPr>
          <w:p>
            <w:r>
              <w:rPr>
                <w:sz w:val="18"/>
              </w:rPr>
              <w:t>IA pour les agents : classification des tickets, résumés et réponses suggérées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R-23</w:t>
            </w:r>
          </w:p>
        </w:tc>
        <w:tc>
          <w:tcPr>
            <w:tcW w:type="dxa" w:w="4337"/>
          </w:tcPr>
          <w:p>
            <w:r>
              <w:rPr>
                <w:sz w:val="18"/>
              </w:rPr>
              <w:t>Agent virtuel pour les utilisateurs dans le portail ou dans Microsoft Teams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R-24</w:t>
            </w:r>
          </w:p>
        </w:tc>
        <w:tc>
          <w:tcPr>
            <w:tcW w:type="dxa" w:w="4337"/>
          </w:tcPr>
          <w:p>
            <w:r>
              <w:rPr>
                <w:sz w:val="18"/>
              </w:rPr>
              <w:t>Tarification de l’IA (incluse ou en option) et lieu de traitement des données de l’IA</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9. Hébergement, sécurité et données dans l’UE</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Réf.</w:t>
            </w:r>
          </w:p>
        </w:tc>
        <w:tc>
          <w:tcPr>
            <w:tcW w:type="dxa" w:w="4337"/>
            <w:shd w:val="clear" w:color="auto" w:fill="0F3A5F"/>
          </w:tcPr>
          <w:p>
            <w:r/>
            <w:r>
              <w:rPr>
                <w:b/>
                <w:color w:val="FFFFFF"/>
                <w:sz w:val="18"/>
              </w:rPr>
              <w:t>Exigence</w:t>
            </w:r>
          </w:p>
        </w:tc>
        <w:tc>
          <w:tcPr>
            <w:tcW w:type="dxa" w:w="1157"/>
            <w:shd w:val="clear" w:color="auto" w:fill="0F3A5F"/>
          </w:tcPr>
          <w:p>
            <w:r/>
            <w:r>
              <w:rPr>
                <w:b/>
                <w:color w:val="FFFFFF"/>
                <w:sz w:val="18"/>
              </w:rPr>
              <w:t>Priorité (I/S/O)</w:t>
            </w:r>
          </w:p>
        </w:tc>
        <w:tc>
          <w:tcPr>
            <w:tcW w:type="dxa" w:w="1542"/>
            <w:shd w:val="clear" w:color="auto" w:fill="0F3A5F"/>
          </w:tcPr>
          <w:p>
            <w:r/>
            <w:r>
              <w:rPr>
                <w:b/>
                <w:color w:val="FFFFFF"/>
                <w:sz w:val="18"/>
              </w:rPr>
              <w:t>Réponse de l’éditeur</w:t>
            </w:r>
          </w:p>
        </w:tc>
        <w:tc>
          <w:tcPr>
            <w:tcW w:type="dxa" w:w="1735"/>
            <w:shd w:val="clear" w:color="auto" w:fill="0F3A5F"/>
          </w:tcPr>
          <w:p>
            <w:r/>
            <w:r>
              <w:rPr>
                <w:b/>
                <w:color w:val="FFFFFF"/>
                <w:sz w:val="18"/>
              </w:rPr>
              <w:t>Commentaire</w:t>
            </w:r>
          </w:p>
        </w:tc>
      </w:tr>
      <w:tr>
        <w:tc>
          <w:tcPr>
            <w:tcW w:type="dxa" w:w="867"/>
          </w:tcPr>
          <w:p>
            <w:r>
              <w:rPr>
                <w:sz w:val="18"/>
              </w:rPr>
              <w:t>R-25</w:t>
            </w:r>
          </w:p>
        </w:tc>
        <w:tc>
          <w:tcPr>
            <w:tcW w:type="dxa" w:w="4337"/>
          </w:tcPr>
          <w:p>
            <w:r>
              <w:rPr>
                <w:sz w:val="18"/>
              </w:rPr>
              <w:t>Région d’hébergement dans l’UE (nommer le centre de données) et liste publiée des sous-traitants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R-26</w:t>
            </w:r>
          </w:p>
        </w:tc>
        <w:tc>
          <w:tcPr>
            <w:tcW w:type="dxa" w:w="4337"/>
          </w:tcPr>
          <w:p>
            <w:r>
              <w:rPr>
                <w:sz w:val="18"/>
              </w:rPr>
              <w:t>Certifications de sécurité (ISO 27001, SOC 2) : fournir le certificat ou le dernier rapport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R-27</w:t>
            </w:r>
          </w:p>
        </w:tc>
        <w:tc>
          <w:tcPr>
            <w:tcW w:type="dxa" w:w="4337"/>
          </w:tcPr>
          <w:p>
            <w:r>
              <w:rPr>
                <w:sz w:val="18"/>
              </w:rPr>
              <w:t>Accord de traitement des données RGPD, et soutien à vos obligations de notification NIS2 quand elles s’appliquent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R-28</w:t>
            </w:r>
          </w:p>
        </w:tc>
        <w:tc>
          <w:tcPr>
            <w:tcW w:type="dxa" w:w="4337"/>
          </w:tcPr>
          <w:p>
            <w:r>
              <w:rPr>
                <w:sz w:val="18"/>
              </w:rPr>
              <w:t>Authentification unique, authentification multifacteur, droits par rôle et journal d’audit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R-29</w:t>
            </w:r>
          </w:p>
        </w:tc>
        <w:tc>
          <w:tcPr>
            <w:tcW w:type="dxa" w:w="4337"/>
          </w:tcPr>
          <w:p>
            <w:r>
              <w:rPr>
                <w:sz w:val="18"/>
              </w:rPr>
              <w:t>Export des données en fin de contrat : format, exhaustivité et coût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10. Reporting</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Réf.</w:t>
            </w:r>
          </w:p>
        </w:tc>
        <w:tc>
          <w:tcPr>
            <w:tcW w:type="dxa" w:w="4337"/>
            <w:shd w:val="clear" w:color="auto" w:fill="0F3A5F"/>
          </w:tcPr>
          <w:p>
            <w:r/>
            <w:r>
              <w:rPr>
                <w:b/>
                <w:color w:val="FFFFFF"/>
                <w:sz w:val="18"/>
              </w:rPr>
              <w:t>Exigence</w:t>
            </w:r>
          </w:p>
        </w:tc>
        <w:tc>
          <w:tcPr>
            <w:tcW w:type="dxa" w:w="1157"/>
            <w:shd w:val="clear" w:color="auto" w:fill="0F3A5F"/>
          </w:tcPr>
          <w:p>
            <w:r/>
            <w:r>
              <w:rPr>
                <w:b/>
                <w:color w:val="FFFFFF"/>
                <w:sz w:val="18"/>
              </w:rPr>
              <w:t>Priorité (I/S/O)</w:t>
            </w:r>
          </w:p>
        </w:tc>
        <w:tc>
          <w:tcPr>
            <w:tcW w:type="dxa" w:w="1542"/>
            <w:shd w:val="clear" w:color="auto" w:fill="0F3A5F"/>
          </w:tcPr>
          <w:p>
            <w:r/>
            <w:r>
              <w:rPr>
                <w:b/>
                <w:color w:val="FFFFFF"/>
                <w:sz w:val="18"/>
              </w:rPr>
              <w:t>Réponse de l’éditeur</w:t>
            </w:r>
          </w:p>
        </w:tc>
        <w:tc>
          <w:tcPr>
            <w:tcW w:type="dxa" w:w="1735"/>
            <w:shd w:val="clear" w:color="auto" w:fill="0F3A5F"/>
          </w:tcPr>
          <w:p>
            <w:r/>
            <w:r>
              <w:rPr>
                <w:b/>
                <w:color w:val="FFFFFF"/>
                <w:sz w:val="18"/>
              </w:rPr>
              <w:t>Commentaire</w:t>
            </w:r>
          </w:p>
        </w:tc>
      </w:tr>
      <w:tr>
        <w:tc>
          <w:tcPr>
            <w:tcW w:type="dxa" w:w="867"/>
          </w:tcPr>
          <w:p>
            <w:r>
              <w:rPr>
                <w:sz w:val="18"/>
              </w:rPr>
              <w:t>R-30</w:t>
            </w:r>
          </w:p>
        </w:tc>
        <w:tc>
          <w:tcPr>
            <w:tcW w:type="dxa" w:w="4337"/>
          </w:tcPr>
          <w:p>
            <w:r>
              <w:rPr>
                <w:sz w:val="18"/>
              </w:rPr>
              <w:t>Tableaux de bord intégrés et rapports planifiés pour les agents, les responsables d’équipe et la direction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R-31</w:t>
            </w:r>
          </w:p>
        </w:tc>
        <w:tc>
          <w:tcPr>
            <w:tcW w:type="dxa" w:w="4337"/>
          </w:tcPr>
          <w:p>
            <w:r>
              <w:rPr>
                <w:sz w:val="18"/>
              </w:rPr>
              <w:t>Connecteur Power BI ou export complet des données pour votre propre reporting</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11. Ergonomie et adoption</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Réf.</w:t>
            </w:r>
          </w:p>
        </w:tc>
        <w:tc>
          <w:tcPr>
            <w:tcW w:type="dxa" w:w="4337"/>
            <w:shd w:val="clear" w:color="auto" w:fill="0F3A5F"/>
          </w:tcPr>
          <w:p>
            <w:r/>
            <w:r>
              <w:rPr>
                <w:b/>
                <w:color w:val="FFFFFF"/>
                <w:sz w:val="18"/>
              </w:rPr>
              <w:t>Exigence</w:t>
            </w:r>
          </w:p>
        </w:tc>
        <w:tc>
          <w:tcPr>
            <w:tcW w:type="dxa" w:w="1157"/>
            <w:shd w:val="clear" w:color="auto" w:fill="0F3A5F"/>
          </w:tcPr>
          <w:p>
            <w:r/>
            <w:r>
              <w:rPr>
                <w:b/>
                <w:color w:val="FFFFFF"/>
                <w:sz w:val="18"/>
              </w:rPr>
              <w:t>Priorité (I/S/O)</w:t>
            </w:r>
          </w:p>
        </w:tc>
        <w:tc>
          <w:tcPr>
            <w:tcW w:type="dxa" w:w="1542"/>
            <w:shd w:val="clear" w:color="auto" w:fill="0F3A5F"/>
          </w:tcPr>
          <w:p>
            <w:r/>
            <w:r>
              <w:rPr>
                <w:b/>
                <w:color w:val="FFFFFF"/>
                <w:sz w:val="18"/>
              </w:rPr>
              <w:t>Réponse de l’éditeur</w:t>
            </w:r>
          </w:p>
        </w:tc>
        <w:tc>
          <w:tcPr>
            <w:tcW w:type="dxa" w:w="1735"/>
            <w:shd w:val="clear" w:color="auto" w:fill="0F3A5F"/>
          </w:tcPr>
          <w:p>
            <w:r/>
            <w:r>
              <w:rPr>
                <w:b/>
                <w:color w:val="FFFFFF"/>
                <w:sz w:val="18"/>
              </w:rPr>
              <w:t>Commentaire</w:t>
            </w:r>
          </w:p>
        </w:tc>
      </w:tr>
      <w:tr>
        <w:tc>
          <w:tcPr>
            <w:tcW w:type="dxa" w:w="867"/>
          </w:tcPr>
          <w:p>
            <w:r>
              <w:rPr>
                <w:sz w:val="18"/>
              </w:rPr>
              <w:t>R-32</w:t>
            </w:r>
          </w:p>
        </w:tc>
        <w:tc>
          <w:tcPr>
            <w:tcW w:type="dxa" w:w="4337"/>
          </w:tcPr>
          <w:p>
            <w:r>
              <w:rPr>
                <w:sz w:val="18"/>
              </w:rPr>
              <w:t>Portail et interface agent disponibles dans les langues indiquées à la section 1</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R-33</w:t>
            </w:r>
          </w:p>
        </w:tc>
        <w:tc>
          <w:tcPr>
            <w:tcW w:type="dxa" w:w="4337"/>
          </w:tcPr>
          <w:p>
            <w:r>
              <w:rPr>
                <w:sz w:val="18"/>
              </w:rPr>
              <w:t>Application mobile pour les agents et pour les utilisateurs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R-34</w:t>
            </w:r>
          </w:p>
        </w:tc>
        <w:tc>
          <w:tcPr>
            <w:tcW w:type="dxa" w:w="4337"/>
          </w:tcPr>
          <w:p>
            <w:r>
              <w:rPr>
                <w:sz w:val="18"/>
              </w:rPr>
              <w:t>Une démo scénarisée de trois de nos cas d’usage (nous fournissons les scénarios)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12. Mise en place, partenaire et support</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Réf.</w:t>
            </w:r>
          </w:p>
        </w:tc>
        <w:tc>
          <w:tcPr>
            <w:tcW w:type="dxa" w:w="4337"/>
            <w:shd w:val="clear" w:color="auto" w:fill="0F3A5F"/>
          </w:tcPr>
          <w:p>
            <w:r/>
            <w:r>
              <w:rPr>
                <w:b/>
                <w:color w:val="FFFFFF"/>
                <w:sz w:val="18"/>
              </w:rPr>
              <w:t>Exigence</w:t>
            </w:r>
          </w:p>
        </w:tc>
        <w:tc>
          <w:tcPr>
            <w:tcW w:type="dxa" w:w="1157"/>
            <w:shd w:val="clear" w:color="auto" w:fill="0F3A5F"/>
          </w:tcPr>
          <w:p>
            <w:r/>
            <w:r>
              <w:rPr>
                <w:b/>
                <w:color w:val="FFFFFF"/>
                <w:sz w:val="18"/>
              </w:rPr>
              <w:t>Priorité (I/S/O)</w:t>
            </w:r>
          </w:p>
        </w:tc>
        <w:tc>
          <w:tcPr>
            <w:tcW w:type="dxa" w:w="1542"/>
            <w:shd w:val="clear" w:color="auto" w:fill="0F3A5F"/>
          </w:tcPr>
          <w:p>
            <w:r/>
            <w:r>
              <w:rPr>
                <w:b/>
                <w:color w:val="FFFFFF"/>
                <w:sz w:val="18"/>
              </w:rPr>
              <w:t>Réponse de l’éditeur</w:t>
            </w:r>
          </w:p>
        </w:tc>
        <w:tc>
          <w:tcPr>
            <w:tcW w:type="dxa" w:w="1735"/>
            <w:shd w:val="clear" w:color="auto" w:fill="0F3A5F"/>
          </w:tcPr>
          <w:p>
            <w:r/>
            <w:r>
              <w:rPr>
                <w:b/>
                <w:color w:val="FFFFFF"/>
                <w:sz w:val="18"/>
              </w:rPr>
              <w:t>Commentaire</w:t>
            </w:r>
          </w:p>
        </w:tc>
      </w:tr>
      <w:tr>
        <w:tc>
          <w:tcPr>
            <w:tcW w:type="dxa" w:w="867"/>
          </w:tcPr>
          <w:p>
            <w:r>
              <w:rPr>
                <w:sz w:val="18"/>
              </w:rPr>
              <w:t>R-35</w:t>
            </w:r>
          </w:p>
        </w:tc>
        <w:tc>
          <w:tcPr>
            <w:tcW w:type="dxa" w:w="4337"/>
          </w:tcPr>
          <w:p>
            <w:r>
              <w:rPr>
                <w:sz w:val="18"/>
              </w:rPr>
              <w:t>Plan de mise en place avec phases, durées, rôles et ce que nous devons fournir</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R-36</w:t>
            </w:r>
          </w:p>
        </w:tc>
        <w:tc>
          <w:tcPr>
            <w:tcW w:type="dxa" w:w="4337"/>
          </w:tcPr>
          <w:p>
            <w:r>
              <w:rPr>
                <w:sz w:val="18"/>
              </w:rPr>
              <w:t>Partenaire d’intégration dans notre région, avec des références de taille et de secteur comparables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R-37</w:t>
            </w:r>
          </w:p>
        </w:tc>
        <w:tc>
          <w:tcPr>
            <w:tcW w:type="dxa" w:w="4337"/>
          </w:tcPr>
          <w:p>
            <w:r>
              <w:rPr>
                <w:sz w:val="18"/>
              </w:rPr>
              <w:t>Support de l’éditeur : horaires, langues, délais de réponse et escalade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R-38</w:t>
            </w:r>
          </w:p>
        </w:tc>
        <w:tc>
          <w:tcPr>
            <w:tcW w:type="dxa" w:w="4337"/>
          </w:tcPr>
          <w:p>
            <w:r>
              <w:rPr>
                <w:sz w:val="18"/>
              </w:rPr>
              <w:t>Formation des agents, des responsables de processus et des administrateurs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R-39</w:t>
            </w:r>
          </w:p>
        </w:tc>
        <w:tc>
          <w:tcPr>
            <w:tcW w:type="dxa" w:w="4337"/>
          </w:tcPr>
          <w:p>
            <w:r>
              <w:rPr>
                <w:sz w:val="18"/>
              </w:rPr>
              <w:t>Migration de nos données : tickets ouverts, historique, articles de connaissance et CMDB</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13. Prix sur trois ans</w:t>
      </w:r>
    </w:p>
    <w:p>
      <w:r>
        <w:t>Demandez à chaque éditeur de remplir ce tableau en euros hors TVA et de préciser le modèle de licence (agents nommés ou simultanés, utilisateurs), la durée minimale et tout plafond d’augmentation des prix.</w:t>
      </w:r>
    </w:p>
    <w:tbl>
      <w:tblPr>
        <w:tblStyle w:val="TableGrid"/>
        <w:tblW w:type="auto" w:w="0"/>
        <w:jc w:val="center"/>
        <w:tblLayout w:type="fixed"/>
        <w:tblLook w:firstColumn="1" w:firstRow="1" w:lastColumn="0" w:lastRow="0" w:noHBand="0" w:noVBand="1" w:val="04A0"/>
      </w:tblPr>
      <w:tblGrid>
        <w:gridCol w:w="3277"/>
        <w:gridCol w:w="1349"/>
        <w:gridCol w:w="1349"/>
        <w:gridCol w:w="1349"/>
        <w:gridCol w:w="2313"/>
      </w:tblGrid>
      <w:tr>
        <w:tc>
          <w:tcPr>
            <w:tcW w:type="dxa" w:w="3277"/>
            <w:shd w:val="clear" w:color="auto" w:fill="0F3A5F"/>
          </w:tcPr>
          <w:p>
            <w:r/>
            <w:r>
              <w:rPr>
                <w:b/>
                <w:color w:val="FFFFFF"/>
                <w:sz w:val="18"/>
              </w:rPr>
              <w:t>Poste de coût</w:t>
            </w:r>
          </w:p>
        </w:tc>
        <w:tc>
          <w:tcPr>
            <w:tcW w:type="dxa" w:w="1349"/>
            <w:shd w:val="clear" w:color="auto" w:fill="0F3A5F"/>
          </w:tcPr>
          <w:p>
            <w:r/>
            <w:r>
              <w:rPr>
                <w:b/>
                <w:color w:val="FFFFFF"/>
                <w:sz w:val="18"/>
              </w:rPr>
              <w:t>Année 1</w:t>
            </w:r>
          </w:p>
        </w:tc>
        <w:tc>
          <w:tcPr>
            <w:tcW w:type="dxa" w:w="1349"/>
            <w:shd w:val="clear" w:color="auto" w:fill="0F3A5F"/>
          </w:tcPr>
          <w:p>
            <w:r/>
            <w:r>
              <w:rPr>
                <w:b/>
                <w:color w:val="FFFFFF"/>
                <w:sz w:val="18"/>
              </w:rPr>
              <w:t>Année 2</w:t>
            </w:r>
          </w:p>
        </w:tc>
        <w:tc>
          <w:tcPr>
            <w:tcW w:type="dxa" w:w="1349"/>
            <w:shd w:val="clear" w:color="auto" w:fill="0F3A5F"/>
          </w:tcPr>
          <w:p>
            <w:r/>
            <w:r>
              <w:rPr>
                <w:b/>
                <w:color w:val="FFFFFF"/>
                <w:sz w:val="18"/>
              </w:rPr>
              <w:t>Année 3</w:t>
            </w:r>
          </w:p>
        </w:tc>
        <w:tc>
          <w:tcPr>
            <w:tcW w:type="dxa" w:w="2313"/>
            <w:shd w:val="clear" w:color="auto" w:fill="0F3A5F"/>
          </w:tcPr>
          <w:p>
            <w:r/>
            <w:r>
              <w:rPr>
                <w:b/>
                <w:color w:val="FFFFFF"/>
                <w:sz w:val="18"/>
              </w:rPr>
              <w:t>Remarques</w:t>
            </w:r>
          </w:p>
        </w:tc>
      </w:tr>
      <w:tr>
        <w:tc>
          <w:tcPr>
            <w:tcW w:type="dxa" w:w="3277"/>
          </w:tcPr>
          <w:p>
            <w:r>
              <w:rPr>
                <w:sz w:val="18"/>
              </w:rPr>
              <w:t>Licences</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Options et modules (IA, découverte, ESM, environnements supplémentaires)</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Prestations de mise en place</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Intégrations</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Migration des données</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Formation</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Support et maintenance</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Total</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bl>
    <w:p/>
    <w:p>
      <w:pPr>
        <w:pStyle w:val="Heading1"/>
      </w:pPr>
      <w:r>
        <w:t>14. Grille de notation</w:t>
      </w:r>
    </w:p>
    <w:p>
      <w:r>
        <w:t>Notez chaque outil de 0 (non couvert) à 5 (entièrement couvert) par critère, multipliez par le poids et additionnez. Les poids ci-dessous sont un exemple : fixez les vôtres avant de recevoir les réponses, pour que la grille ne puisse pas pencher vers un favori.</w:t>
      </w:r>
    </w:p>
    <w:tbl>
      <w:tblPr>
        <w:tblStyle w:val="TableGrid"/>
        <w:tblW w:type="auto" w:w="0"/>
        <w:jc w:val="center"/>
        <w:tblLayout w:type="fixed"/>
        <w:tblLook w:firstColumn="1" w:firstRow="1" w:lastColumn="0" w:lastRow="0" w:noHBand="0" w:noVBand="1" w:val="04A0"/>
      </w:tblPr>
      <w:tblGrid>
        <w:gridCol w:w="4433"/>
        <w:gridCol w:w="1157"/>
        <w:gridCol w:w="1349"/>
        <w:gridCol w:w="1349"/>
        <w:gridCol w:w="1349"/>
      </w:tblGrid>
      <w:tr>
        <w:tc>
          <w:tcPr>
            <w:tcW w:type="dxa" w:w="4433"/>
            <w:shd w:val="clear" w:color="auto" w:fill="0F3A5F"/>
          </w:tcPr>
          <w:p>
            <w:r/>
            <w:r>
              <w:rPr>
                <w:b/>
                <w:color w:val="FFFFFF"/>
                <w:sz w:val="18"/>
              </w:rPr>
              <w:t>Critère</w:t>
            </w:r>
          </w:p>
        </w:tc>
        <w:tc>
          <w:tcPr>
            <w:tcW w:type="dxa" w:w="1157"/>
            <w:shd w:val="clear" w:color="auto" w:fill="0F3A5F"/>
          </w:tcPr>
          <w:p>
            <w:r/>
            <w:r>
              <w:rPr>
                <w:b/>
                <w:color w:val="FFFFFF"/>
                <w:sz w:val="18"/>
              </w:rPr>
              <w:t>Poids</w:t>
            </w:r>
          </w:p>
        </w:tc>
        <w:tc>
          <w:tcPr>
            <w:tcW w:type="dxa" w:w="1349"/>
            <w:shd w:val="clear" w:color="auto" w:fill="0F3A5F"/>
          </w:tcPr>
          <w:p>
            <w:r/>
            <w:r>
              <w:rPr>
                <w:b/>
                <w:color w:val="FFFFFF"/>
                <w:sz w:val="18"/>
              </w:rPr>
              <w:t>Outil A</w:t>
            </w:r>
          </w:p>
        </w:tc>
        <w:tc>
          <w:tcPr>
            <w:tcW w:type="dxa" w:w="1349"/>
            <w:shd w:val="clear" w:color="auto" w:fill="0F3A5F"/>
          </w:tcPr>
          <w:p>
            <w:r/>
            <w:r>
              <w:rPr>
                <w:b/>
                <w:color w:val="FFFFFF"/>
                <w:sz w:val="18"/>
              </w:rPr>
              <w:t>Outil B</w:t>
            </w:r>
          </w:p>
        </w:tc>
        <w:tc>
          <w:tcPr>
            <w:tcW w:type="dxa" w:w="1349"/>
            <w:shd w:val="clear" w:color="auto" w:fill="0F3A5F"/>
          </w:tcPr>
          <w:p>
            <w:r/>
            <w:r>
              <w:rPr>
                <w:b/>
                <w:color w:val="FFFFFF"/>
                <w:sz w:val="18"/>
              </w:rPr>
              <w:t>Outil C</w:t>
            </w:r>
          </w:p>
        </w:tc>
      </w:tr>
      <w:tr>
        <w:tc>
          <w:tcPr>
            <w:tcW w:type="dxa" w:w="4433"/>
          </w:tcPr>
          <w:p>
            <w:r>
              <w:rPr>
                <w:sz w:val="18"/>
              </w:rPr>
              <w:t>Couverture des processus ITIL (section 4)</w:t>
            </w:r>
          </w:p>
        </w:tc>
        <w:tc>
          <w:tcPr>
            <w:tcW w:type="dxa" w:w="1157"/>
          </w:tcPr>
          <w:p>
            <w:r>
              <w:rPr>
                <w:sz w:val="18"/>
              </w:rPr>
              <w:t>20 %</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Gestion des services d’entreprise (section 5)</w:t>
            </w:r>
          </w:p>
        </w:tc>
        <w:tc>
          <w:tcPr>
            <w:tcW w:type="dxa" w:w="1157"/>
          </w:tcPr>
          <w:p>
            <w:r>
              <w:rPr>
                <w:sz w:val="18"/>
              </w:rPr>
              <w:t>5 %</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CMDB et gestion des actifs IT (section 6)</w:t>
            </w:r>
          </w:p>
        </w:tc>
        <w:tc>
          <w:tcPr>
            <w:tcW w:type="dxa" w:w="1157"/>
          </w:tcPr>
          <w:p>
            <w:r>
              <w:rPr>
                <w:sz w:val="18"/>
              </w:rPr>
              <w:t>10 %</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Intégrations (section 7)</w:t>
            </w:r>
          </w:p>
        </w:tc>
        <w:tc>
          <w:tcPr>
            <w:tcW w:type="dxa" w:w="1157"/>
          </w:tcPr>
          <w:p>
            <w:r>
              <w:rPr>
                <w:sz w:val="18"/>
              </w:rPr>
              <w:t>15 %</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IA et automatisation (section 8)</w:t>
            </w:r>
          </w:p>
        </w:tc>
        <w:tc>
          <w:tcPr>
            <w:tcW w:type="dxa" w:w="1157"/>
          </w:tcPr>
          <w:p>
            <w:r>
              <w:rPr>
                <w:sz w:val="18"/>
              </w:rPr>
              <w:t>10 %</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Hébergement, sécurité et données dans l’UE (section 9)</w:t>
            </w:r>
          </w:p>
        </w:tc>
        <w:tc>
          <w:tcPr>
            <w:tcW w:type="dxa" w:w="1157"/>
          </w:tcPr>
          <w:p>
            <w:r>
              <w:rPr>
                <w:sz w:val="18"/>
              </w:rPr>
              <w:t>10 %</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Prix sur trois ans (section 13)</w:t>
            </w:r>
          </w:p>
        </w:tc>
        <w:tc>
          <w:tcPr>
            <w:tcW w:type="dxa" w:w="1157"/>
          </w:tcPr>
          <w:p>
            <w:r>
              <w:rPr>
                <w:sz w:val="18"/>
              </w:rPr>
              <w:t>15 %</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Partenaire et support (section 12)</w:t>
            </w:r>
          </w:p>
        </w:tc>
        <w:tc>
          <w:tcPr>
            <w:tcW w:type="dxa" w:w="1157"/>
          </w:tcPr>
          <w:p>
            <w:r>
              <w:rPr>
                <w:sz w:val="18"/>
              </w:rPr>
              <w:t>5 %</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Ergonomie et adoption (sections 10 et 11)</w:t>
            </w:r>
          </w:p>
        </w:tc>
        <w:tc>
          <w:tcPr>
            <w:tcW w:type="dxa" w:w="1157"/>
          </w:tcPr>
          <w:p>
            <w:r>
              <w:rPr>
                <w:sz w:val="18"/>
              </w:rPr>
              <w:t>10 %</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Total pondéré</w:t>
            </w:r>
          </w:p>
        </w:tc>
        <w:tc>
          <w:tcPr>
            <w:tcW w:type="dxa" w:w="1157"/>
          </w:tcPr>
          <w:p>
            <w:r>
              <w:rPr>
                <w:sz w:val="18"/>
              </w:rPr>
              <w:t>100 %</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bl>
    <w:p/>
    <w:p>
      <w:pPr>
        <w:pStyle w:val="Heading1"/>
      </w:pPr>
      <w:r>
        <w:t>Un regard extérieur sur votre cahier des charges ?</w:t>
      </w:r>
    </w:p>
    <w:p>
      <w:r>
        <w:t>SMC Consulting rédige avec vous les exigences et la grille de notation, compare les plateformes adaptées à votre contexte et mène la sélection jusqu’aux démos finales. Commencez par une première short-list : quelques questions, puis un échange avec un consultant senior certifié ITIL v4.</w:t>
      </w:r>
    </w:p>
    <w:p>
      <w:r>
        <w:rPr>
          <w:b/>
        </w:rPr>
        <w:t>Recevoir ma shortlist ITSM: https://www.smcconsulting.be/fr/conseil-itsm/choisir-outil-itsm#shortlist</w:t>
      </w:r>
    </w:p>
    <w:sectPr w:rsidR="00FC693F" w:rsidRPr="0006063C" w:rsidSect="00034616">
      <w:footerReference w:type="default" r:id="rId9"/>
      <w:pgSz w:w="11906" w:h="16838"/>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SMC Consulting · www.smcconsulting.be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cahier des charges ITSM : exigences et grille de notation</dc:title>
  <dc:subject/>
  <dc:creator>SMC Consulting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